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B7" w:rsidRDefault="00680AB7" w:rsidP="00680AB7">
      <w:pPr>
        <w:snapToGrid w:val="0"/>
      </w:pPr>
      <w:r>
        <w:rPr>
          <w:rFonts w:ascii="新細明體" w:eastAsia="新細明體" w:hAnsi="新細明體" w:hint="eastAsia"/>
        </w:rPr>
        <w:t>依各證投信基金信託契約規定「當基金淨資產價值低於規定門檻時，經理公司應</w:t>
      </w:r>
      <w:r>
        <w:rPr>
          <w:rFonts w:ascii="新細明體" w:eastAsia="新細明體" w:hAnsi="新細明體" w:hint="eastAsia"/>
          <w:u w:val="single"/>
        </w:rPr>
        <w:t>將淨資產價值及受益人人數告知申購人</w:t>
      </w:r>
      <w:r>
        <w:rPr>
          <w:rFonts w:ascii="新細明體" w:eastAsia="新細明體" w:hAnsi="新細明體" w:hint="eastAsia"/>
        </w:rPr>
        <w:t>」客戶申購或轉換(單筆或定時定額)以下基金時，請盡告知義務</w:t>
      </w:r>
      <w:r>
        <w:rPr>
          <w:rFonts w:ascii="新細明體" w:eastAsia="新細明體" w:hAnsi="新細明體" w:hint="eastAsia"/>
          <w:color w:val="0000FF"/>
        </w:rPr>
        <w:t>．</w:t>
      </w:r>
      <w:bookmarkStart w:id="0" w:name="_GoBack"/>
      <w:bookmarkEnd w:id="0"/>
      <w:r>
        <w:rPr>
          <w:rFonts w:ascii="Calibri" w:hAnsi="Calibri"/>
          <w:color w:val="FF0000"/>
        </w:rPr>
        <w:t>(ETF</w:t>
      </w:r>
      <w:r>
        <w:rPr>
          <w:rFonts w:ascii="新細明體" w:eastAsia="新細明體" w:hAnsi="新細明體" w:hint="eastAsia"/>
          <w:color w:val="FF0000"/>
        </w:rPr>
        <w:t>基金受益人數截至03月31日止</w:t>
      </w:r>
      <w:r>
        <w:rPr>
          <w:rFonts w:ascii="Calibri" w:hAnsi="Calibri"/>
          <w:color w:val="FF0000"/>
        </w:rPr>
        <w:t>)</w:t>
      </w:r>
      <w:r>
        <w:rPr>
          <w:rFonts w:ascii="Calibri" w:hAnsi="Calibri"/>
          <w:b/>
          <w:bCs/>
          <w:color w:val="1F497D"/>
        </w:rPr>
        <w:t xml:space="preserve"> </w:t>
      </w:r>
    </w:p>
    <w:tbl>
      <w:tblPr>
        <w:tblW w:w="11840" w:type="dxa"/>
        <w:tblInd w:w="-1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680"/>
        <w:gridCol w:w="1140"/>
        <w:gridCol w:w="1020"/>
        <w:gridCol w:w="1720"/>
        <w:gridCol w:w="1140"/>
      </w:tblGrid>
      <w:tr w:rsidR="00680AB7" w:rsidTr="00680AB7">
        <w:trPr>
          <w:trHeight w:val="33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基金代碼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基金名稱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淨值日期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淨值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管理資產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受益人數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1078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元大台灣中型100基金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33.05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297,483,250.00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1,955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1081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元大台灣電子科技基金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35.39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229,603,077.00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879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1082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元大台商收成基金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23.84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277,170,398.00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1,268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1093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元大全球靈活配置債券組合基金(A)-不配息型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85,314,693.00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183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1094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元大全球靈活配置債券組合基金(B)-配息型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40,097,522.00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104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1097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元大印度指數基金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9.655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137,313,467.00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607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1098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元大印尼指數基金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205,735,813.00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725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1099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元大富櫃50基金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14.4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229,606,050.00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820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1103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元大摩臺基金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37.83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292,000,778.00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95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元大中國機會債券基金-新台幣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9.9297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133,321,490.00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114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元大中國機會債券基金-人民幣(A)不配息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10.3483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38,438,646.00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17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元大中國機會債券基金-人民幣(B)配息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9.6386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33,261,420.00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元大滬深300單日反向1倍基金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14.83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125,300,930.00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431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元大全球股票入息基金-新台幣不配息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111,267,954.00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86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元大全球股票入息基金-新台幣配息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96,863,359.00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90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元大全球股票入息基金-美元配息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70,461,875.00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元大標普500單日正向2倍基金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30.88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120,914,983.00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252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1138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元大全球美元公司債券基金-新台幣(A)不配息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184,014,934.00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71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1139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元大全球美元公司債券基金-新台幣(B)配息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8.5505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26,187,766.00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36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元大全球美元公司債券基金-美元(A)不配息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10.2855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23,308,225.00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7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1141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元大全球美元公司債券基金-美元(B)配息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9.5143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20,047,385.00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5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元大日經225基金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27.98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109,810,917.00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88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1148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元大韓國KOSPI200基金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24.1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118,791,766.00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154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1152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元大美國政府20年期(以上)債券單日正向2倍基金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18.728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104,427,382.00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67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1153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元大美國政府20年期(以上)債券單日反向1倍基金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19.3346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137,159,694.00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134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1154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元大澳幣貨幣市場基金-新台幣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9.5942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133,359,888.00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124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元大澳幣貨幣市場基金-澳幣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10.1379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66,342,712.00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11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1161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元大美國政府7至10年期債券基金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36.88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247,538,397.00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379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1162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元大美國政府7至10年期債券單日正向2倍基金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17.8239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100,687,129.00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103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1163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元大美國政府7至10年期債券單日反向1倍基金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20.5681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117,525,981.00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31</w:t>
            </w:r>
          </w:p>
        </w:tc>
      </w:tr>
      <w:tr w:rsidR="00680AB7" w:rsidTr="00680AB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1174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元大美國政府1至3年期債券ETF基金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r>
              <w:rPr>
                <w:rFonts w:ascii="新細明體" w:eastAsia="新細明體" w:hAnsi="新細明體" w:hint="eastAsia"/>
                <w:color w:val="000000"/>
              </w:rPr>
              <w:t>20180419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30.1531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136,110,933.00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AB7" w:rsidRDefault="00680AB7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131</w:t>
            </w:r>
          </w:p>
        </w:tc>
      </w:tr>
    </w:tbl>
    <w:p w:rsidR="003C2B9D" w:rsidRDefault="003C2B9D"/>
    <w:sectPr w:rsidR="003C2B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B7"/>
    <w:rsid w:val="003C2B9D"/>
    <w:rsid w:val="0068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B7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B7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2018-04-25T01:30:00Z</dcterms:created>
  <dcterms:modified xsi:type="dcterms:W3CDTF">2018-04-25T01:31:00Z</dcterms:modified>
</cp:coreProperties>
</file>