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25" w:rsidRDefault="00C53225" w:rsidP="00C53225">
      <w:pPr>
        <w:rPr>
          <w:rFonts w:ascii="微軟正黑體" w:eastAsia="微軟正黑體" w:hAnsi="微軟正黑體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 xml:space="preserve">「富蘭克林華美新興趨勢傘型基金之新興市場股票組合基金」（以下簡稱「本基金」）依其信託契約第十二條第十八項之規定，於本基金淨資產價值低於新台幣參億元時，本公司應將基金淨資產價值及受益人人數告知申購人。 </w:t>
      </w:r>
    </w:p>
    <w:p w:rsidR="00C53225" w:rsidRDefault="00C53225" w:rsidP="00C53225">
      <w:pPr>
        <w:ind w:leftChars="14" w:left="34"/>
        <w:rPr>
          <w:rFonts w:hint="eastAsia"/>
        </w:rPr>
      </w:pPr>
      <w:r>
        <w:rPr>
          <w:rFonts w:ascii="微軟正黑體" w:eastAsia="微軟正黑體" w:hAnsi="微軟正黑體" w:hint="eastAsia"/>
          <w:color w:val="1F497D"/>
        </w:rPr>
        <w:t>特此通知您，本基金中華民國107年5月22日之淨資產價值為新台幣</w:t>
      </w:r>
      <w:bookmarkStart w:id="0" w:name="_GoBack"/>
      <w:bookmarkEnd w:id="0"/>
      <w:r>
        <w:rPr>
          <w:rFonts w:ascii="微軟正黑體" w:eastAsia="微軟正黑體" w:hAnsi="微軟正黑體" w:hint="eastAsia"/>
          <w:color w:val="1F497D"/>
        </w:rPr>
        <w:t>208,087,193元，受益人人數為551人。</w:t>
      </w:r>
    </w:p>
    <w:p w:rsidR="00CB769B" w:rsidRPr="00C53225" w:rsidRDefault="00CB769B"/>
    <w:sectPr w:rsidR="00CB769B" w:rsidRPr="00C532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25"/>
    <w:rsid w:val="00C53225"/>
    <w:rsid w:val="00C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25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25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1</cp:revision>
  <dcterms:created xsi:type="dcterms:W3CDTF">2018-05-24T02:08:00Z</dcterms:created>
  <dcterms:modified xsi:type="dcterms:W3CDTF">2018-05-24T02:09:00Z</dcterms:modified>
</cp:coreProperties>
</file>