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8C" w:rsidRDefault="00683E8C" w:rsidP="00683E8C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265DE2" w:rsidRPr="00683E8C" w:rsidRDefault="00683E8C" w:rsidP="00683E8C">
      <w:r>
        <w:rPr>
          <w:rFonts w:ascii="微軟正黑體" w:eastAsia="微軟正黑體" w:hAnsi="微軟正黑體" w:hint="eastAsia"/>
          <w:color w:val="1F497D"/>
        </w:rPr>
        <w:t>特此通知您，本基金中華民國107年3月28日之淨資產價值為新台幣200,155,966元，受益人人數為553人。</w:t>
      </w:r>
      <w:bookmarkStart w:id="0" w:name="_GoBack"/>
      <w:bookmarkEnd w:id="0"/>
    </w:p>
    <w:sectPr w:rsidR="00265DE2" w:rsidRPr="00683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59"/>
    <w:rsid w:val="00265DE2"/>
    <w:rsid w:val="00683E8C"/>
    <w:rsid w:val="009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59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59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2018-03-30T01:14:00Z</dcterms:created>
  <dcterms:modified xsi:type="dcterms:W3CDTF">2018-03-30T01:14:00Z</dcterms:modified>
</cp:coreProperties>
</file>