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4" w:rsidRDefault="00BA0384" w:rsidP="00BA0384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通知本公司經理之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DC11A7" w:rsidRPr="00BA0384" w:rsidRDefault="00BA0384" w:rsidP="00BA0384">
      <w:r>
        <w:rPr>
          <w:rFonts w:ascii="微軟正黑體" w:eastAsia="微軟正黑體" w:hAnsi="微軟正黑體" w:hint="eastAsia"/>
          <w:color w:val="1F497D"/>
        </w:rPr>
        <w:t>特此通知您，本基金中華民國107年5月16日之淨資產價值為新台幣計價幣別217,541,004元，受益人人數為205人、人民幣計價幣別2,017,210 元，受益人人數為8人、美元計價幣別1,726,368元，受益人人數為3人。</w:t>
      </w:r>
      <w:bookmarkStart w:id="0" w:name="_GoBack"/>
      <w:bookmarkEnd w:id="0"/>
    </w:p>
    <w:sectPr w:rsidR="00DC11A7" w:rsidRPr="00BA0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2A"/>
    <w:rsid w:val="0032302A"/>
    <w:rsid w:val="00BA0384"/>
    <w:rsid w:val="00D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A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A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2018-05-18T06:46:00Z</dcterms:created>
  <dcterms:modified xsi:type="dcterms:W3CDTF">2018-05-18T06:46:00Z</dcterms:modified>
</cp:coreProperties>
</file>