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EE" w:rsidRDefault="005E56EE" w:rsidP="005E56EE">
      <w:pPr>
        <w:rPr>
          <w:rFonts w:ascii="微軟正黑體" w:eastAsia="微軟正黑體" w:hAnsi="微軟正黑體"/>
          <w:color w:val="1F497D"/>
        </w:rPr>
      </w:pPr>
      <w:r>
        <w:rPr>
          <w:rFonts w:ascii="微軟正黑體" w:eastAsia="微軟正黑體" w:hAnsi="微軟正黑體" w:hint="eastAsia"/>
          <w:color w:val="1F497D"/>
        </w:rPr>
        <w:t xml:space="preserve">「富蘭克林華美中國傘型基金之中國高收益債券基金」（以下簡稱「本基金」）依其信託契約第十二條第十八項之規定，於本基金淨資產價值低於新台幣參億元時，本公司應將基金淨資產價值及受益人人數告知申購人。 </w:t>
      </w:r>
    </w:p>
    <w:p w:rsidR="003C2B9D" w:rsidRDefault="005E56EE" w:rsidP="005E56EE">
      <w:r>
        <w:rPr>
          <w:rFonts w:ascii="微軟正黑體" w:eastAsia="微軟正黑體" w:hAnsi="微軟正黑體" w:hint="eastAsia"/>
          <w:color w:val="1F497D"/>
        </w:rPr>
        <w:t>特此通知您，本基金中華民國107年4月18日之淨資產價值為新台幣計價幣別191,144,572元，受益人人數為206人、人民幣計價幣別2,033,579 元，受益人人數為8人、美元計價幣別2,960,484元，受益人人數為3人。</w:t>
      </w:r>
      <w:bookmarkStart w:id="0" w:name="_GoBack"/>
      <w:bookmarkEnd w:id="0"/>
    </w:p>
    <w:sectPr w:rsidR="003C2B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EE"/>
    <w:rsid w:val="003C2B9D"/>
    <w:rsid w:val="005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EE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EE"/>
    <w:rPr>
      <w:rFonts w:ascii="Calibri" w:eastAsia="SimSun" w:hAnsi="Calibri" w:cs="SimSu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李天如</dc:creator>
  <cp:lastModifiedBy>李天如</cp:lastModifiedBy>
  <cp:revision>1</cp:revision>
  <dcterms:created xsi:type="dcterms:W3CDTF">2018-04-20T02:58:00Z</dcterms:created>
  <dcterms:modified xsi:type="dcterms:W3CDTF">2018-04-20T03:00:00Z</dcterms:modified>
</cp:coreProperties>
</file>